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2E" w:rsidRDefault="0009192E" w:rsidP="0009192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Τοποθέτηση του Αντώνη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Αντανασιώτη</w:t>
      </w:r>
      <w:proofErr w:type="spellEnd"/>
    </w:p>
    <w:p w:rsidR="0009192E" w:rsidRDefault="0009192E" w:rsidP="0009192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εκπροσώπου της «Αγωνιστικής Συσπείρωσης Δικηγόρων</w:t>
      </w:r>
      <w:r>
        <w:rPr>
          <w:rFonts w:ascii="Arial" w:hAnsi="Arial" w:cs="Arial"/>
          <w:b/>
          <w:bCs/>
          <w:sz w:val="20"/>
          <w:szCs w:val="20"/>
        </w:rPr>
        <w:t>»</w:t>
      </w:r>
    </w:p>
    <w:p w:rsidR="0009192E" w:rsidRDefault="0009192E" w:rsidP="0009192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09192E" w:rsidRDefault="0009192E" w:rsidP="0009192E">
      <w:pPr>
        <w:spacing w:after="200" w:line="276" w:lineRule="auto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  Η παράταξή μας </w:t>
      </w:r>
      <w:r>
        <w:rPr>
          <w:rFonts w:ascii="Arial" w:hAnsi="Arial" w:cs="Arial"/>
          <w:b/>
          <w:bCs/>
          <w:sz w:val="20"/>
          <w:szCs w:val="20"/>
        </w:rPr>
        <w:t xml:space="preserve">καταψηφίζει </w:t>
      </w:r>
      <w:r>
        <w:rPr>
          <w:rFonts w:ascii="Arial" w:hAnsi="Arial" w:cs="Arial"/>
          <w:sz w:val="20"/>
          <w:szCs w:val="20"/>
        </w:rPr>
        <w:t>την ετήσια οικονομική έκθεση – ισολογισμό 2020 του Συλλόγου, όπως έπραξε άλλωστε και με τις προηγούμενες, για δύο κυρίως λόγους:</w:t>
      </w:r>
    </w:p>
    <w:p w:rsidR="0009192E" w:rsidRDefault="0009192E" w:rsidP="0009192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           1) Επειδή η συνολική λειτουργία και δράση του Συλλόγου, όπως αποτυπώνονται και στην οικονομική δραστηριότητά του</w:t>
      </w:r>
      <w:r>
        <w:rPr>
          <w:rFonts w:ascii="Arial" w:hAnsi="Arial" w:cs="Arial"/>
          <w:b/>
          <w:bCs/>
          <w:sz w:val="20"/>
          <w:szCs w:val="20"/>
        </w:rPr>
        <w:t>, δεν εξυπηρετούν τα συμφέροντα και τις ανάγκες της πλειοψηφίας των μισθωτών και αυτοαπασχολούμενων δικηγόρων με τα χαμηλότερα εισοδήματα</w:t>
      </w:r>
      <w:r>
        <w:rPr>
          <w:rFonts w:ascii="Arial" w:hAnsi="Arial" w:cs="Arial"/>
          <w:sz w:val="20"/>
          <w:szCs w:val="20"/>
        </w:rPr>
        <w:t xml:space="preserve">, και           </w:t>
      </w:r>
    </w:p>
    <w:p w:rsidR="0009192E" w:rsidRDefault="0009192E" w:rsidP="0009192E">
      <w:pPr>
        <w:spacing w:after="200" w:line="276" w:lineRule="auto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 2) Επειδή η έγκρισή της, όπως βέβαια και η ψήφιση του ετήσιου προϋπολογισμού εσόδων και εξόδων, </w:t>
      </w:r>
      <w:r>
        <w:rPr>
          <w:rFonts w:ascii="Arial" w:hAnsi="Arial" w:cs="Arial"/>
          <w:b/>
          <w:bCs/>
          <w:sz w:val="20"/>
          <w:szCs w:val="20"/>
        </w:rPr>
        <w:t>θα έπρεπε να πραγματοποιηθεί από τη Γενική Συνέλευση του Συλλόγου</w:t>
      </w:r>
      <w:r>
        <w:rPr>
          <w:rFonts w:ascii="Arial" w:hAnsi="Arial" w:cs="Arial"/>
          <w:sz w:val="20"/>
          <w:szCs w:val="20"/>
        </w:rPr>
        <w:t xml:space="preserve">, η οποία αποτελεί το ανώτατο όργανό του, ώστε να έχουν άμεση γνώση και λόγο οι ίδιοι οι συνάδελφοι – μέλη του, όπως εξάλλου προβλέπεται κατά βάση και στον Κώδικα Δικηγόρων (άρθρο 92 παρ. 1β). </w:t>
      </w:r>
    </w:p>
    <w:p w:rsidR="0009192E" w:rsidRDefault="0009192E" w:rsidP="0009192E"/>
    <w:sectPr w:rsidR="0009192E" w:rsidSect="00AE0E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2E"/>
    <w:rsid w:val="0009192E"/>
    <w:rsid w:val="002C6633"/>
    <w:rsid w:val="00AE0EF2"/>
    <w:rsid w:val="00CA614D"/>
    <w:rsid w:val="00E3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EB72F-D784-4C5C-8DD8-4596BEE8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92E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Gr-Proedrou2</dc:creator>
  <cp:lastModifiedBy>User</cp:lastModifiedBy>
  <cp:revision>2</cp:revision>
  <dcterms:created xsi:type="dcterms:W3CDTF">2021-10-29T14:55:00Z</dcterms:created>
  <dcterms:modified xsi:type="dcterms:W3CDTF">2021-10-29T14:55:00Z</dcterms:modified>
</cp:coreProperties>
</file>